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1"/>
        <w:spacing w:after="120" w:before="120" w:lineRule="auto"/>
        <w:ind w:left="0" w:right="0" w:firstLine="849"/>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yan</w:t>
      </w:r>
      <w:r w:rsidDel="00000000" w:rsidR="00000000" w:rsidRPr="00000000">
        <w:rPr>
          <w:rFonts w:ascii="Times New Roman" w:cs="Times New Roman" w:eastAsia="Times New Roman" w:hAnsi="Times New Roman"/>
          <w:b w:val="1"/>
          <w:sz w:val="22"/>
          <w:szCs w:val="22"/>
          <w:rtl w:val="0"/>
        </w:rPr>
        <w:t xml:space="preserve">Оферта.</w:t>
      </w:r>
    </w:p>
    <w:p w:rsidR="00000000" w:rsidDel="00000000" w:rsidP="00000000" w:rsidRDefault="00000000" w:rsidRPr="00000000" w14:paraId="00000002">
      <w:pPr>
        <w:widowControl w:val="1"/>
        <w:spacing w:after="120" w:before="120" w:lineRule="auto"/>
        <w:ind w:left="0" w:right="0" w:firstLine="849"/>
        <w:jc w:val="both"/>
        <w:rPr>
          <w:sz w:val="22"/>
          <w:szCs w:val="22"/>
        </w:rPr>
      </w:pPr>
      <w:r w:rsidDel="00000000" w:rsidR="00000000" w:rsidRPr="00000000">
        <w:rPr>
          <w:rtl w:val="0"/>
        </w:rPr>
      </w:r>
    </w:p>
    <w:p w:rsidR="00000000" w:rsidDel="00000000" w:rsidP="00000000" w:rsidRDefault="00000000" w:rsidRPr="00000000" w14:paraId="00000003">
      <w:pPr>
        <w:widowControl w:val="1"/>
        <w:spacing w:after="120" w:before="120" w:lineRule="auto"/>
        <w:ind w:left="0" w:right="0" w:firstLine="849"/>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Договор оказания услуг (оферта) </w:t>
      </w:r>
    </w:p>
    <w:p w:rsidR="00000000" w:rsidDel="00000000" w:rsidP="00000000" w:rsidRDefault="00000000" w:rsidRPr="00000000" w14:paraId="00000004">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Оферта регулирует отношения между Покупателем и Организатором, которые связаны с оказанием услуг по проведению Мероприятий. Общество с ограниченной ответственностью "Два путешественника" (далее - "TREKIA") не является стороной по договору.  </w:t>
      </w:r>
    </w:p>
    <w:p w:rsidR="00000000" w:rsidDel="00000000" w:rsidP="00000000" w:rsidRDefault="00000000" w:rsidRPr="00000000" w14:paraId="00000005">
      <w:pPr>
        <w:widowControl w:val="1"/>
        <w:spacing w:after="120" w:before="120" w:lineRule="auto"/>
        <w:ind w:left="0" w:right="0" w:firstLine="849"/>
        <w:jc w:val="both"/>
        <w:rPr>
          <w:sz w:val="22"/>
          <w:szCs w:val="22"/>
        </w:rPr>
      </w:pPr>
      <w:r w:rsidDel="00000000" w:rsidR="00000000" w:rsidRPr="00000000">
        <w:rPr>
          <w:rFonts w:ascii="Times New Roman" w:cs="Times New Roman" w:eastAsia="Times New Roman" w:hAnsi="Times New Roman"/>
          <w:sz w:val="22"/>
          <w:szCs w:val="22"/>
          <w:rtl w:val="0"/>
        </w:rPr>
        <w:t xml:space="preserve">Организатор предлагает Покупателю заключить договор оказания услуг по проведению Мероприятия, доступного к бронированию и оплате на Сервисе (Договор), на изложенных в оферте условиях. </w:t>
      </w:r>
      <w:r w:rsidDel="00000000" w:rsidR="00000000" w:rsidRPr="00000000">
        <w:rPr>
          <w:rtl w:val="0"/>
        </w:rPr>
      </w:r>
    </w:p>
    <w:p w:rsidR="00000000" w:rsidDel="00000000" w:rsidP="00000000" w:rsidRDefault="00000000" w:rsidRPr="00000000" w14:paraId="00000006">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Данное предложение действует на срок размещения информации на Странице Экскурсии о доступности его Заказа на Сервисе.</w:t>
      </w:r>
    </w:p>
    <w:p w:rsidR="00000000" w:rsidDel="00000000" w:rsidP="00000000" w:rsidRDefault="00000000" w:rsidRPr="00000000" w14:paraId="00000007">
      <w:pPr>
        <w:widowControl w:val="1"/>
        <w:spacing w:after="120" w:before="120" w:lineRule="auto"/>
        <w:ind w:left="0" w:right="0" w:firstLine="849"/>
        <w:jc w:val="both"/>
        <w:rPr>
          <w:sz w:val="22"/>
          <w:szCs w:val="22"/>
        </w:rPr>
      </w:pPr>
      <w:r w:rsidDel="00000000" w:rsidR="00000000" w:rsidRPr="00000000">
        <w:rPr>
          <w:rFonts w:ascii="Times New Roman" w:cs="Times New Roman" w:eastAsia="Times New Roman" w:hAnsi="Times New Roman"/>
          <w:sz w:val="22"/>
          <w:szCs w:val="22"/>
          <w:rtl w:val="0"/>
        </w:rPr>
        <w:t xml:space="preserve">Термины в оферте толкуются в значении, определенном в </w:t>
      </w:r>
      <w:r w:rsidDel="00000000" w:rsidR="00000000" w:rsidRPr="00000000">
        <w:rPr>
          <w:rFonts w:ascii="Times New Roman" w:cs="Times New Roman" w:eastAsia="Times New Roman" w:hAnsi="Times New Roman"/>
          <w:sz w:val="22"/>
          <w:szCs w:val="22"/>
          <w:rtl w:val="0"/>
        </w:rPr>
        <w:t xml:space="preserve">Пользовательском соглашении (Соглашении)</w:t>
      </w:r>
      <w:r w:rsidDel="00000000" w:rsidR="00000000" w:rsidRPr="00000000">
        <w:rPr>
          <w:rFonts w:ascii="Times New Roman" w:cs="Times New Roman" w:eastAsia="Times New Roman" w:hAnsi="Times New Roman"/>
          <w:sz w:val="22"/>
          <w:szCs w:val="22"/>
          <w:rtl w:val="0"/>
        </w:rPr>
        <w:t xml:space="preserve">, которое является неотъемлемой частью Договора.</w:t>
      </w:r>
      <w:r w:rsidDel="00000000" w:rsidR="00000000" w:rsidRPr="00000000">
        <w:rPr>
          <w:rtl w:val="0"/>
        </w:rPr>
      </w:r>
    </w:p>
    <w:p w:rsidR="00000000" w:rsidDel="00000000" w:rsidP="00000000" w:rsidRDefault="00000000" w:rsidRPr="00000000" w14:paraId="00000008">
      <w:pPr>
        <w:widowControl w:val="1"/>
        <w:spacing w:after="120" w:before="120" w:lineRule="auto"/>
        <w:ind w:left="0" w:right="0" w:firstLine="849"/>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 Акцепт</w:t>
      </w:r>
    </w:p>
    <w:p w:rsidR="00000000" w:rsidDel="00000000" w:rsidP="00000000" w:rsidRDefault="00000000" w:rsidRPr="00000000" w14:paraId="00000009">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 До направления Заказа Покупатель должен внимательно ознакомиться с условиями Соглашения и Договора. Покупатель не вправе оформлять Заказ, если он не согласен с указанными документами.</w:t>
      </w:r>
    </w:p>
    <w:p w:rsidR="00000000" w:rsidDel="00000000" w:rsidP="00000000" w:rsidRDefault="00000000" w:rsidRPr="00000000" w14:paraId="0000000A">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1.2. Договор считается заключенным (акцепт оферты) с момента, когда Покупатель отправил Заказ Организатору.</w:t>
      </w:r>
    </w:p>
    <w:p w:rsidR="00000000" w:rsidDel="00000000" w:rsidP="00000000" w:rsidRDefault="00000000" w:rsidRPr="00000000" w14:paraId="0000000B">
      <w:pPr>
        <w:widowControl w:val="1"/>
        <w:spacing w:after="120" w:before="120" w:lineRule="auto"/>
        <w:ind w:left="0" w:right="0" w:firstLine="849"/>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2. Предмет</w:t>
      </w:r>
    </w:p>
    <w:p w:rsidR="00000000" w:rsidDel="00000000" w:rsidP="00000000" w:rsidRDefault="00000000" w:rsidRPr="00000000" w14:paraId="0000000C">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2.1. Организатор обязуется оказать услуги по проведению Мероприятия (Услуги) в соответствии с Заказом, а Покупатель обязуется принять и оплатить Услуги.</w:t>
      </w:r>
    </w:p>
    <w:p w:rsidR="00000000" w:rsidDel="00000000" w:rsidP="00000000" w:rsidRDefault="00000000" w:rsidRPr="00000000" w14:paraId="0000000D">
      <w:pPr>
        <w:widowControl w:val="1"/>
        <w:spacing w:after="120" w:before="120" w:lineRule="auto"/>
        <w:ind w:left="0" w:right="0" w:firstLine="849"/>
        <w:jc w:val="both"/>
        <w:rPr>
          <w:sz w:val="22"/>
          <w:szCs w:val="22"/>
        </w:rPr>
      </w:pPr>
      <w:r w:rsidDel="00000000" w:rsidR="00000000" w:rsidRPr="00000000">
        <w:rPr>
          <w:rFonts w:ascii="Times New Roman" w:cs="Times New Roman" w:eastAsia="Times New Roman" w:hAnsi="Times New Roman"/>
          <w:sz w:val="22"/>
          <w:szCs w:val="22"/>
          <w:rtl w:val="0"/>
        </w:rPr>
        <w:t xml:space="preserve">2.2. TREKIA обязуется принять Заказ, передать его Организатору и принять от Покупателя оплату </w:t>
      </w:r>
      <w:r w:rsidDel="00000000" w:rsidR="00000000" w:rsidRPr="00000000">
        <w:rPr>
          <w:rFonts w:ascii="Times New Roman" w:cs="Times New Roman" w:eastAsia="Times New Roman" w:hAnsi="Times New Roman"/>
          <w:sz w:val="22"/>
          <w:szCs w:val="22"/>
          <w:rtl w:val="0"/>
        </w:rPr>
        <w:t xml:space="preserve">в размере 10% от общей стоимости</w:t>
      </w:r>
      <w:r w:rsidDel="00000000" w:rsidR="00000000" w:rsidRPr="00000000">
        <w:rPr>
          <w:rFonts w:ascii="Times New Roman" w:cs="Times New Roman" w:eastAsia="Times New Roman" w:hAnsi="Times New Roman"/>
          <w:sz w:val="22"/>
          <w:szCs w:val="22"/>
          <w:rtl w:val="0"/>
        </w:rPr>
        <w:t xml:space="preserve"> за Мероприятие.</w:t>
      </w:r>
      <w:r w:rsidDel="00000000" w:rsidR="00000000" w:rsidRPr="00000000">
        <w:rPr>
          <w:rtl w:val="0"/>
        </w:rPr>
      </w:r>
    </w:p>
    <w:p w:rsidR="00000000" w:rsidDel="00000000" w:rsidP="00000000" w:rsidRDefault="00000000" w:rsidRPr="00000000" w14:paraId="0000000E">
      <w:pPr>
        <w:widowControl w:val="1"/>
        <w:spacing w:after="120" w:before="120" w:lineRule="auto"/>
        <w:ind w:left="0" w:right="0" w:firstLine="849"/>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3. Финансовые условия</w:t>
      </w:r>
    </w:p>
    <w:p w:rsidR="00000000" w:rsidDel="00000000" w:rsidP="00000000" w:rsidRDefault="00000000" w:rsidRPr="00000000" w14:paraId="0000000F">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3.1. Стоимость Билета на Мероприятие указана на Странице Экскурсии.</w:t>
      </w:r>
    </w:p>
    <w:p w:rsidR="00000000" w:rsidDel="00000000" w:rsidP="00000000" w:rsidRDefault="00000000" w:rsidRPr="00000000" w14:paraId="00000010">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3.2. Организатор вправе в любое время до направления Покупателем Заказа в одностороннем порядке изменить стоимость Билета на Мероприятие;</w:t>
      </w:r>
    </w:p>
    <w:p w:rsidR="00000000" w:rsidDel="00000000" w:rsidP="00000000" w:rsidRDefault="00000000" w:rsidRPr="00000000" w14:paraId="00000011">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3.3. Общая стоимость Заказа складывается из цен входящих в него Билетов на Мероприятия.</w:t>
      </w:r>
    </w:p>
    <w:p w:rsidR="00000000" w:rsidDel="00000000" w:rsidP="00000000" w:rsidRDefault="00000000" w:rsidRPr="00000000" w14:paraId="00000012">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3.4. С момента направления Заказа стоимость Билета на Мероприятие в Заказе изменению не подлежит.</w:t>
      </w:r>
    </w:p>
    <w:p w:rsidR="00000000" w:rsidDel="00000000" w:rsidP="00000000" w:rsidRDefault="00000000" w:rsidRPr="00000000" w14:paraId="00000013">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3.5. Покупатель оплачивает Заказ TREKIA/ Организатору перед началом Мероприятия на условиях, указанных на Странице Экскурсии:</w:t>
      </w:r>
    </w:p>
    <w:p w:rsidR="00000000" w:rsidDel="00000000" w:rsidP="00000000" w:rsidRDefault="00000000" w:rsidRPr="00000000" w14:paraId="00000014">
      <w:pPr>
        <w:widowControl w:val="1"/>
        <w:spacing w:after="120" w:before="120" w:lineRule="auto"/>
        <w:ind w:left="0" w:right="0" w:firstLine="849"/>
        <w:jc w:val="both"/>
        <w:rPr>
          <w:sz w:val="22"/>
          <w:szCs w:val="22"/>
        </w:rPr>
      </w:pPr>
      <w:r w:rsidDel="00000000" w:rsidR="00000000" w:rsidRPr="00000000">
        <w:rPr>
          <w:rFonts w:ascii="Times New Roman" w:cs="Times New Roman" w:eastAsia="Times New Roman" w:hAnsi="Times New Roman"/>
          <w:sz w:val="22"/>
          <w:szCs w:val="22"/>
          <w:rtl w:val="0"/>
        </w:rPr>
        <w:t xml:space="preserve">3.5.1. Предоплата в размере 10% от стоимости Заказа, установленной на Сервисе, на счёт TREKIA; </w:t>
      </w:r>
      <w:r w:rsidDel="00000000" w:rsidR="00000000" w:rsidRPr="00000000">
        <w:rPr>
          <w:rtl w:val="0"/>
        </w:rPr>
      </w:r>
    </w:p>
    <w:p w:rsidR="00000000" w:rsidDel="00000000" w:rsidP="00000000" w:rsidRDefault="00000000" w:rsidRPr="00000000" w14:paraId="00000015">
      <w:pPr>
        <w:widowControl w:val="1"/>
        <w:spacing w:after="120" w:before="120" w:lineRule="auto"/>
        <w:ind w:left="0" w:right="0" w:firstLine="849"/>
        <w:jc w:val="both"/>
        <w:rPr>
          <w:sz w:val="22"/>
          <w:szCs w:val="22"/>
        </w:rPr>
      </w:pPr>
      <w:r w:rsidDel="00000000" w:rsidR="00000000" w:rsidRPr="00000000">
        <w:rPr>
          <w:rFonts w:ascii="Times New Roman" w:cs="Times New Roman" w:eastAsia="Times New Roman" w:hAnsi="Times New Roman"/>
          <w:sz w:val="22"/>
          <w:szCs w:val="22"/>
          <w:rtl w:val="0"/>
        </w:rPr>
        <w:t xml:space="preserve">3.5.2. Оплата в размере 90% от стоимости Заказа, установленной на Сервисе, Организатору;</w:t>
      </w:r>
      <w:r w:rsidDel="00000000" w:rsidR="00000000" w:rsidRPr="00000000">
        <w:rPr>
          <w:rtl w:val="0"/>
        </w:rPr>
      </w:r>
    </w:p>
    <w:p w:rsidR="00000000" w:rsidDel="00000000" w:rsidP="00000000" w:rsidRDefault="00000000" w:rsidRPr="00000000" w14:paraId="00000016">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3.6. Покупатель оплачивает Заказ TREKIA / Организатору перед началом Мероприятия в зависимости от условий, указанных на Странице Экскурсии. </w:t>
      </w:r>
    </w:p>
    <w:p w:rsidR="00000000" w:rsidDel="00000000" w:rsidP="00000000" w:rsidRDefault="00000000" w:rsidRPr="00000000" w14:paraId="00000017">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3.7. Обязанность Покупателя по оплате считается выполненной с момента зачисления денежных средств на расчетный счет TREKIA и/или с момента передачи денежных средств Организатору. </w:t>
      </w:r>
    </w:p>
    <w:p w:rsidR="00000000" w:rsidDel="00000000" w:rsidP="00000000" w:rsidRDefault="00000000" w:rsidRPr="00000000" w14:paraId="00000018">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3.8. По запросу Покупателя Организатор обязан направить ему счет/счет-фактуру за оказанные услуги.</w:t>
      </w:r>
    </w:p>
    <w:p w:rsidR="00000000" w:rsidDel="00000000" w:rsidP="00000000" w:rsidRDefault="00000000" w:rsidRPr="00000000" w14:paraId="00000019">
      <w:pPr>
        <w:widowControl w:val="1"/>
        <w:spacing w:after="120" w:before="120" w:lineRule="auto"/>
        <w:ind w:left="0" w:right="0" w:firstLine="849"/>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4. Отмена Заказа или Мероприятия </w:t>
      </w:r>
    </w:p>
    <w:p w:rsidR="00000000" w:rsidDel="00000000" w:rsidP="00000000" w:rsidRDefault="00000000" w:rsidRPr="00000000" w14:paraId="0000001A">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Порядок отмены Заказа</w:t>
      </w:r>
    </w:p>
    <w:p w:rsidR="00000000" w:rsidDel="00000000" w:rsidP="00000000" w:rsidRDefault="00000000" w:rsidRPr="00000000" w14:paraId="0000001B">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4.1. Организатор вправе отклонить Заказ и направить Покупателю уведомление об этом в Профиле или иным письменным способом. </w:t>
      </w:r>
    </w:p>
    <w:p w:rsidR="00000000" w:rsidDel="00000000" w:rsidP="00000000" w:rsidRDefault="00000000" w:rsidRPr="00000000" w14:paraId="0000001C">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4.2. Если Покупатель получил уведомление об отклонении Заказа, он вправе: </w:t>
      </w:r>
    </w:p>
    <w:p w:rsidR="00000000" w:rsidDel="00000000" w:rsidP="00000000" w:rsidRDefault="00000000" w:rsidRPr="00000000" w14:paraId="0000001D">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4.2.1. обратиться за возвратом денежных средств, если Билет на Мероприятие уже был оплачен Покупателем;</w:t>
      </w:r>
    </w:p>
    <w:p w:rsidR="00000000" w:rsidDel="00000000" w:rsidP="00000000" w:rsidRDefault="00000000" w:rsidRPr="00000000" w14:paraId="0000001E">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4.2.2. заменить Мероприятие на другое Мероприятие или Экскурсию по согласованию со TREKIA. </w:t>
      </w:r>
    </w:p>
    <w:p w:rsidR="00000000" w:rsidDel="00000000" w:rsidP="00000000" w:rsidRDefault="00000000" w:rsidRPr="00000000" w14:paraId="0000001F">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Порядок отказа от оказания Услуг Участнику </w:t>
      </w:r>
    </w:p>
    <w:p w:rsidR="00000000" w:rsidDel="00000000" w:rsidP="00000000" w:rsidRDefault="00000000" w:rsidRPr="00000000" w14:paraId="00000020">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4.3. Организатор вправе отказать в оказании Услуг Участнику, если:</w:t>
      </w:r>
    </w:p>
    <w:p w:rsidR="00000000" w:rsidDel="00000000" w:rsidP="00000000" w:rsidRDefault="00000000" w:rsidRPr="00000000" w14:paraId="00000021">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4.3.1. Участник пришел на Мероприятие с признаками наличия состояния алкогольного, наркотического опьянения или под влиянием иных веществ; </w:t>
      </w:r>
    </w:p>
    <w:p w:rsidR="00000000" w:rsidDel="00000000" w:rsidP="00000000" w:rsidRDefault="00000000" w:rsidRPr="00000000" w14:paraId="00000022">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4.3.2. поведение Участника до или во время Мероприятия мешает Организатору оказывать Услугу ему или другим Участникам;</w:t>
      </w:r>
    </w:p>
    <w:p w:rsidR="00000000" w:rsidDel="00000000" w:rsidP="00000000" w:rsidRDefault="00000000" w:rsidRPr="00000000" w14:paraId="00000023">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4.3.3. Участник не соответствует требованиям, указанным на Странице Экскурсии/в Билете;</w:t>
      </w:r>
    </w:p>
    <w:p w:rsidR="00000000" w:rsidDel="00000000" w:rsidP="00000000" w:rsidRDefault="00000000" w:rsidRPr="00000000" w14:paraId="00000024">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4.3.4. у Участника отсутствуют документы и принадлежности, необходимые для участия в Мероприятии</w:t>
      </w:r>
    </w:p>
    <w:p w:rsidR="00000000" w:rsidDel="00000000" w:rsidP="00000000" w:rsidRDefault="00000000" w:rsidRPr="00000000" w14:paraId="00000025">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4.3.5. по физическим возможностям Участника последний не сможет присутствовать на Мероприятии. </w:t>
      </w:r>
    </w:p>
    <w:p w:rsidR="00000000" w:rsidDel="00000000" w:rsidP="00000000" w:rsidRDefault="00000000" w:rsidRPr="00000000" w14:paraId="00000026">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4.3.6. наступил форс-мажор в месте проведения Мероприятия. К таким событиям относятся: наводнение, пожар, землетрясение, шторм, оседание почвы, эпидемии и иные явления природы, а также война или военные действия, авария, забастовка в отрасли или регионе, принятие органом государственной власти или управления решения, повлекшего невозможность выполнить обязательства. </w:t>
      </w:r>
    </w:p>
    <w:p w:rsidR="00000000" w:rsidDel="00000000" w:rsidP="00000000" w:rsidRDefault="00000000" w:rsidRPr="00000000" w14:paraId="00000027">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в вышеуказанных случаях возврат денежных средств не осуществляется. </w:t>
      </w:r>
    </w:p>
    <w:p w:rsidR="00000000" w:rsidDel="00000000" w:rsidP="00000000" w:rsidRDefault="00000000" w:rsidRPr="00000000" w14:paraId="00000028">
      <w:pPr>
        <w:widowControl w:val="1"/>
        <w:spacing w:after="120" w:before="120" w:lineRule="auto"/>
        <w:ind w:left="0" w:right="0" w:firstLine="849"/>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5. Отказ от Мероприятия </w:t>
      </w:r>
    </w:p>
    <w:p w:rsidR="00000000" w:rsidDel="00000000" w:rsidP="00000000" w:rsidRDefault="00000000" w:rsidRPr="00000000" w14:paraId="00000029">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5.1. Покупатель вправе отказаться от Мероприятия в любое время до его начала, а также в процессе проведения Мероприятия. </w:t>
      </w:r>
    </w:p>
    <w:p w:rsidR="00000000" w:rsidDel="00000000" w:rsidP="00000000" w:rsidRDefault="00000000" w:rsidRPr="00000000" w14:paraId="0000002A">
      <w:pPr>
        <w:widowControl w:val="1"/>
        <w:spacing w:after="120" w:before="120" w:lineRule="auto"/>
        <w:ind w:left="0" w:right="0" w:firstLine="849"/>
        <w:jc w:val="both"/>
        <w:rPr>
          <w:sz w:val="22"/>
          <w:szCs w:val="22"/>
        </w:rPr>
      </w:pPr>
      <w:r w:rsidDel="00000000" w:rsidR="00000000" w:rsidRPr="00000000">
        <w:rPr>
          <w:rFonts w:ascii="Times New Roman" w:cs="Times New Roman" w:eastAsia="Times New Roman" w:hAnsi="Times New Roman"/>
          <w:sz w:val="22"/>
          <w:szCs w:val="22"/>
          <w:rtl w:val="0"/>
        </w:rPr>
        <w:t xml:space="preserve">5.2. Для отказа от Мероприятия Покупатель должен обратиться по адресу электронной почты, указанной на Сервисе в разделе «</w:t>
      </w:r>
      <w:r w:rsidDel="00000000" w:rsidR="00000000" w:rsidRPr="00000000">
        <w:rPr>
          <w:rFonts w:ascii="Times New Roman" w:cs="Times New Roman" w:eastAsia="Times New Roman" w:hAnsi="Times New Roman"/>
          <w:sz w:val="22"/>
          <w:szCs w:val="22"/>
          <w:rtl w:val="0"/>
        </w:rPr>
        <w:t xml:space="preserve">Документы» </w:t>
      </w:r>
      <w:r w:rsidDel="00000000" w:rsidR="00000000" w:rsidRPr="00000000">
        <w:rPr>
          <w:rFonts w:ascii="Times New Roman" w:cs="Times New Roman" w:eastAsia="Times New Roman" w:hAnsi="Times New Roman"/>
          <w:sz w:val="22"/>
          <w:szCs w:val="22"/>
          <w:rtl w:val="0"/>
        </w:rPr>
        <w:t xml:space="preserve">и (или) через «Профиль туриста», или к Организатору. </w:t>
      </w:r>
      <w:r w:rsidDel="00000000" w:rsidR="00000000" w:rsidRPr="00000000">
        <w:rPr>
          <w:rtl w:val="0"/>
        </w:rPr>
      </w:r>
    </w:p>
    <w:p w:rsidR="00000000" w:rsidDel="00000000" w:rsidP="00000000" w:rsidRDefault="00000000" w:rsidRPr="00000000" w14:paraId="0000002B">
      <w:pPr>
        <w:widowControl w:val="1"/>
        <w:spacing w:after="120" w:before="120" w:lineRule="auto"/>
        <w:ind w:left="0" w:right="0" w:firstLine="849"/>
        <w:jc w:val="both"/>
        <w:rPr>
          <w:sz w:val="22"/>
          <w:szCs w:val="22"/>
        </w:rPr>
      </w:pPr>
      <w:r w:rsidDel="00000000" w:rsidR="00000000" w:rsidRPr="00000000">
        <w:rPr>
          <w:rFonts w:ascii="Times New Roman" w:cs="Times New Roman" w:eastAsia="Times New Roman" w:hAnsi="Times New Roman"/>
          <w:sz w:val="22"/>
          <w:szCs w:val="22"/>
          <w:rtl w:val="0"/>
        </w:rPr>
        <w:t xml:space="preserve">5.3. При положительном решении TREKIA и Организатора об осуществлении возврата стоимости Билета на Мероприятия, такой возврат происходит не позднее </w:t>
      </w:r>
      <w:r w:rsidDel="00000000" w:rsidR="00000000" w:rsidRPr="00000000">
        <w:rPr>
          <w:rFonts w:ascii="Times New Roman" w:cs="Times New Roman" w:eastAsia="Times New Roman" w:hAnsi="Times New Roman"/>
          <w:sz w:val="22"/>
          <w:szCs w:val="22"/>
          <w:rtl w:val="0"/>
        </w:rPr>
        <w:t xml:space="preserve">10 рабочих дней </w:t>
      </w:r>
      <w:r w:rsidDel="00000000" w:rsidR="00000000" w:rsidRPr="00000000">
        <w:rPr>
          <w:rFonts w:ascii="Times New Roman" w:cs="Times New Roman" w:eastAsia="Times New Roman" w:hAnsi="Times New Roman"/>
          <w:sz w:val="22"/>
          <w:szCs w:val="22"/>
          <w:rtl w:val="0"/>
        </w:rPr>
        <w:t xml:space="preserve">с момента принятия соответствующего решения. </w:t>
      </w:r>
      <w:r w:rsidDel="00000000" w:rsidR="00000000" w:rsidRPr="00000000">
        <w:rPr>
          <w:rtl w:val="0"/>
        </w:rPr>
      </w:r>
    </w:p>
    <w:p w:rsidR="00000000" w:rsidDel="00000000" w:rsidP="00000000" w:rsidRDefault="00000000" w:rsidRPr="00000000" w14:paraId="0000002C">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5.4. При оплате Заказа банковской картой на Сервисе денежные средства переводятся на карту, которой был оплачен Заказ. Окончательные сроки поступления денежных средств на банковский счет Покупателя зависят от банка-эмитента карты.</w:t>
      </w:r>
    </w:p>
    <w:p w:rsidR="00000000" w:rsidDel="00000000" w:rsidP="00000000" w:rsidRDefault="00000000" w:rsidRPr="00000000" w14:paraId="0000002D">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5.5. Условия и порядок отказа от Мероприятия подробно определяются в Правилах возврата. </w:t>
      </w:r>
    </w:p>
    <w:p w:rsidR="00000000" w:rsidDel="00000000" w:rsidP="00000000" w:rsidRDefault="00000000" w:rsidRPr="00000000" w14:paraId="0000002E">
      <w:pPr>
        <w:widowControl w:val="1"/>
        <w:spacing w:after="120" w:before="120" w:lineRule="auto"/>
        <w:ind w:left="0" w:right="0" w:firstLine="849"/>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6. Ответственность</w:t>
      </w:r>
    </w:p>
    <w:p w:rsidR="00000000" w:rsidDel="00000000" w:rsidP="00000000" w:rsidRDefault="00000000" w:rsidRPr="00000000" w14:paraId="0000002F">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6.1. TREKIA не несет ответственность за порядок и качество проведения Мероприятия и не гарантирует возможность выполнения Заказа Организатором.</w:t>
      </w:r>
    </w:p>
    <w:p w:rsidR="00000000" w:rsidDel="00000000" w:rsidP="00000000" w:rsidRDefault="00000000" w:rsidRPr="00000000" w14:paraId="00000030">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6.2. Организатор не несет ответственность за любые негативные для Покупателя и третьих лиц последствия, возникшие в случае ненадлежащего поведения Участника до или во время Мероприятия. </w:t>
      </w:r>
    </w:p>
    <w:p w:rsidR="00000000" w:rsidDel="00000000" w:rsidP="00000000" w:rsidRDefault="00000000" w:rsidRPr="00000000" w14:paraId="00000031">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6.3. Покупатель несет ответственность за достоверность и полноту указанных в Заказе сведений.</w:t>
      </w:r>
    </w:p>
    <w:p w:rsidR="00000000" w:rsidDel="00000000" w:rsidP="00000000" w:rsidRDefault="00000000" w:rsidRPr="00000000" w14:paraId="00000032">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6.4.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Сторона не могла ни предвидеть, ни предотвратить разумными мерами (форс-мажор). </w:t>
      </w:r>
    </w:p>
    <w:p w:rsidR="00000000" w:rsidDel="00000000" w:rsidP="00000000" w:rsidRDefault="00000000" w:rsidRPr="00000000" w14:paraId="00000033">
      <w:pPr>
        <w:widowControl w:val="1"/>
        <w:spacing w:after="120" w:before="120" w:lineRule="auto"/>
        <w:ind w:left="0" w:right="0" w:firstLine="849"/>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7. Коммуникация и прочие условия</w:t>
      </w:r>
    </w:p>
    <w:p w:rsidR="00000000" w:rsidDel="00000000" w:rsidP="00000000" w:rsidRDefault="00000000" w:rsidRPr="00000000" w14:paraId="00000034">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7.1. Для обмена информацией по Заказу могут использоваться следующие способы коммуникации:</w:t>
      </w:r>
    </w:p>
    <w:p w:rsidR="00000000" w:rsidDel="00000000" w:rsidP="00000000" w:rsidRDefault="00000000" w:rsidRPr="00000000" w14:paraId="00000035">
      <w:pPr>
        <w:widowControl w:val="1"/>
        <w:spacing w:after="120" w:before="120" w:lineRule="auto"/>
        <w:ind w:left="0" w:right="0" w:firstLine="849"/>
        <w:jc w:val="both"/>
        <w:rPr>
          <w:sz w:val="22"/>
          <w:szCs w:val="22"/>
        </w:rPr>
      </w:pPr>
      <w:r w:rsidDel="00000000" w:rsidR="00000000" w:rsidRPr="00000000">
        <w:rPr>
          <w:rFonts w:ascii="Times New Roman" w:cs="Times New Roman" w:eastAsia="Times New Roman" w:hAnsi="Times New Roman"/>
          <w:sz w:val="22"/>
          <w:szCs w:val="22"/>
          <w:rtl w:val="0"/>
        </w:rPr>
        <w:t xml:space="preserve">7.1.1. функционал  </w:t>
      </w:r>
      <w:r w:rsidDel="00000000" w:rsidR="00000000" w:rsidRPr="00000000">
        <w:rPr>
          <w:rFonts w:ascii="Times New Roman" w:cs="Times New Roman" w:eastAsia="Times New Roman" w:hAnsi="Times New Roman"/>
          <w:sz w:val="22"/>
          <w:szCs w:val="22"/>
          <w:rtl w:val="0"/>
        </w:rPr>
        <w:t xml:space="preserve">«Профиль туриста»;</w:t>
      </w:r>
      <w:r w:rsidDel="00000000" w:rsidR="00000000" w:rsidRPr="00000000">
        <w:rPr>
          <w:rtl w:val="0"/>
        </w:rPr>
      </w:r>
    </w:p>
    <w:p w:rsidR="00000000" w:rsidDel="00000000" w:rsidP="00000000" w:rsidRDefault="00000000" w:rsidRPr="00000000" w14:paraId="00000036">
      <w:pPr>
        <w:widowControl w:val="1"/>
        <w:spacing w:after="120" w:before="120" w:lineRule="auto"/>
        <w:ind w:left="0" w:right="0" w:firstLine="849"/>
        <w:jc w:val="both"/>
        <w:rPr>
          <w:sz w:val="22"/>
          <w:szCs w:val="22"/>
        </w:rPr>
      </w:pPr>
      <w:r w:rsidDel="00000000" w:rsidR="00000000" w:rsidRPr="00000000">
        <w:rPr>
          <w:rFonts w:ascii="Times New Roman" w:cs="Times New Roman" w:eastAsia="Times New Roman" w:hAnsi="Times New Roman"/>
          <w:sz w:val="22"/>
          <w:szCs w:val="22"/>
          <w:rtl w:val="0"/>
        </w:rPr>
        <w:t xml:space="preserve">7.1.2. электронная почта: для Покупателя - адрес его электронной почты, указанный в </w:t>
      </w:r>
      <w:r w:rsidDel="00000000" w:rsidR="00000000" w:rsidRPr="00000000">
        <w:rPr>
          <w:rFonts w:ascii="Times New Roman" w:cs="Times New Roman" w:eastAsia="Times New Roman" w:hAnsi="Times New Roman"/>
          <w:sz w:val="22"/>
          <w:szCs w:val="22"/>
          <w:rtl w:val="0"/>
        </w:rPr>
        <w:t xml:space="preserve">«Профиле туриста»</w:t>
      </w:r>
      <w:r w:rsidDel="00000000" w:rsidR="00000000" w:rsidRPr="00000000">
        <w:rPr>
          <w:rFonts w:ascii="Times New Roman" w:cs="Times New Roman" w:eastAsia="Times New Roman" w:hAnsi="Times New Roman"/>
          <w:sz w:val="22"/>
          <w:szCs w:val="22"/>
          <w:rtl w:val="0"/>
        </w:rPr>
        <w:t xml:space="preserve"> либо при направлении Заказа; для Организатора - адрес его электронной почты, указанный в </w:t>
      </w:r>
      <w:r w:rsidDel="00000000" w:rsidR="00000000" w:rsidRPr="00000000">
        <w:rPr>
          <w:rFonts w:ascii="Times New Roman" w:cs="Times New Roman" w:eastAsia="Times New Roman" w:hAnsi="Times New Roman"/>
          <w:sz w:val="22"/>
          <w:szCs w:val="22"/>
          <w:rtl w:val="0"/>
        </w:rPr>
        <w:t xml:space="preserve">«Профиль гида</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tl w:val="0"/>
        </w:rPr>
      </w:r>
    </w:p>
    <w:p w:rsidR="00000000" w:rsidDel="00000000" w:rsidP="00000000" w:rsidRDefault="00000000" w:rsidRPr="00000000" w14:paraId="00000037">
      <w:pPr>
        <w:widowControl w:val="1"/>
        <w:spacing w:after="120" w:before="120" w:lineRule="auto"/>
        <w:ind w:left="0" w:right="0" w:firstLine="849"/>
        <w:jc w:val="both"/>
        <w:rPr>
          <w:sz w:val="22"/>
          <w:szCs w:val="22"/>
        </w:rPr>
      </w:pPr>
      <w:r w:rsidDel="00000000" w:rsidR="00000000" w:rsidRPr="00000000">
        <w:rPr>
          <w:rFonts w:ascii="Times New Roman" w:cs="Times New Roman" w:eastAsia="Times New Roman" w:hAnsi="Times New Roman"/>
          <w:sz w:val="22"/>
          <w:szCs w:val="22"/>
          <w:rtl w:val="0"/>
        </w:rPr>
        <w:t xml:space="preserve">7.1.3. телефонная связь: для Покупателя - номер мобильного телефона, указанный в </w:t>
      </w:r>
      <w:r w:rsidDel="00000000" w:rsidR="00000000" w:rsidRPr="00000000">
        <w:rPr>
          <w:rFonts w:ascii="Times New Roman" w:cs="Times New Roman" w:eastAsia="Times New Roman" w:hAnsi="Times New Roman"/>
          <w:sz w:val="22"/>
          <w:szCs w:val="22"/>
          <w:rtl w:val="0"/>
        </w:rPr>
        <w:t xml:space="preserve">Профиле туриста»</w:t>
      </w:r>
      <w:r w:rsidDel="00000000" w:rsidR="00000000" w:rsidRPr="00000000">
        <w:rPr>
          <w:rFonts w:ascii="Times New Roman" w:cs="Times New Roman" w:eastAsia="Times New Roman" w:hAnsi="Times New Roman"/>
          <w:sz w:val="22"/>
          <w:szCs w:val="22"/>
          <w:rtl w:val="0"/>
        </w:rPr>
        <w:t xml:space="preserve"> либо при направлении Заказа; для Организатора - номер, указанный в </w:t>
      </w:r>
      <w:r w:rsidDel="00000000" w:rsidR="00000000" w:rsidRPr="00000000">
        <w:rPr>
          <w:rFonts w:ascii="Times New Roman" w:cs="Times New Roman" w:eastAsia="Times New Roman" w:hAnsi="Times New Roman"/>
          <w:sz w:val="22"/>
          <w:szCs w:val="22"/>
          <w:rtl w:val="0"/>
        </w:rPr>
        <w:t xml:space="preserve">«Профиле гида»</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p w:rsidR="00000000" w:rsidDel="00000000" w:rsidP="00000000" w:rsidRDefault="00000000" w:rsidRPr="00000000" w14:paraId="00000038">
      <w:pPr>
        <w:widowControl w:val="1"/>
        <w:spacing w:after="120" w:before="120" w:lineRule="auto"/>
        <w:ind w:left="0" w:right="0" w:firstLine="849"/>
        <w:jc w:val="both"/>
        <w:rPr>
          <w:sz w:val="22"/>
          <w:szCs w:val="22"/>
        </w:rPr>
      </w:pPr>
      <w:r w:rsidDel="00000000" w:rsidR="00000000" w:rsidRPr="00000000">
        <w:rPr>
          <w:rFonts w:ascii="Times New Roman" w:cs="Times New Roman" w:eastAsia="Times New Roman" w:hAnsi="Times New Roman"/>
          <w:sz w:val="22"/>
          <w:szCs w:val="22"/>
          <w:rtl w:val="0"/>
        </w:rPr>
        <w:t xml:space="preserve">7.2 В случае возникновения вопросов, связанных с функционированием Сервиса, Покупатель вправе осуществить коммуникацию с TREKIA и сообщить об этом по электронной почте, указанной на Сервисе в разделе «Документы».</w:t>
      </w:r>
      <w:r w:rsidDel="00000000" w:rsidR="00000000" w:rsidRPr="00000000">
        <w:rPr>
          <w:rtl w:val="0"/>
        </w:rPr>
      </w:r>
    </w:p>
    <w:p w:rsidR="00000000" w:rsidDel="00000000" w:rsidP="00000000" w:rsidRDefault="00000000" w:rsidRPr="00000000" w14:paraId="00000039">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7.3. При обращении и коммуникации к TREKIA Покупатель либо представитель Покупателя должны предоставить всю информацию, необходимую для рассмотрения и принятия решения по вопросу, в том числе, все данные для идентификации Покупателя/представителя Покупателя.</w:t>
      </w:r>
    </w:p>
    <w:p w:rsidR="00000000" w:rsidDel="00000000" w:rsidP="00000000" w:rsidRDefault="00000000" w:rsidRPr="00000000" w14:paraId="0000003A">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7.4. Если Организатор не может провести Мероприятие или Покупатель не может присутствовать на Мероприятии, которое было оплачено Покупателем, то TREKIA оставляет за собой право заменить Мероприятие или Экскурсию на другую по коммуникации и согласованию с Покупателем. </w:t>
      </w:r>
    </w:p>
    <w:p w:rsidR="00000000" w:rsidDel="00000000" w:rsidP="00000000" w:rsidRDefault="00000000" w:rsidRPr="00000000" w14:paraId="0000003B">
      <w:pPr>
        <w:widowControl w:val="1"/>
        <w:spacing w:after="120" w:before="120" w:lineRule="auto"/>
        <w:ind w:left="0" w:right="0" w:firstLine="849"/>
        <w:jc w:val="both"/>
        <w:rPr>
          <w:sz w:val="22"/>
          <w:szCs w:val="22"/>
        </w:rPr>
      </w:pPr>
      <w:r w:rsidDel="00000000" w:rsidR="00000000" w:rsidRPr="00000000">
        <w:rPr>
          <w:rFonts w:ascii="Times New Roman" w:cs="Times New Roman" w:eastAsia="Times New Roman" w:hAnsi="Times New Roman"/>
          <w:sz w:val="22"/>
          <w:szCs w:val="22"/>
          <w:rtl w:val="0"/>
        </w:rPr>
        <w:t xml:space="preserve">7.5. Условия и порядок отмены экскурсии определяются в </w:t>
      </w:r>
      <w:r w:rsidDel="00000000" w:rsidR="00000000" w:rsidRPr="00000000">
        <w:rPr>
          <w:rFonts w:ascii="Times New Roman" w:cs="Times New Roman" w:eastAsia="Times New Roman" w:hAnsi="Times New Roman"/>
          <w:sz w:val="22"/>
          <w:szCs w:val="22"/>
          <w:rtl w:val="0"/>
        </w:rPr>
        <w:t xml:space="preserve">Правилах возврата (https://trekia.ru/documents)</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p w:rsidR="00000000" w:rsidDel="00000000" w:rsidP="00000000" w:rsidRDefault="00000000" w:rsidRPr="00000000" w14:paraId="0000003C">
      <w:pPr>
        <w:widowControl w:val="1"/>
        <w:spacing w:after="120" w:before="120" w:lineRule="auto"/>
        <w:ind w:left="0" w:right="0" w:firstLine="849"/>
        <w:jc w:val="both"/>
        <w:rPr>
          <w:sz w:val="22"/>
          <w:szCs w:val="22"/>
        </w:rPr>
      </w:pPr>
      <w:r w:rsidDel="00000000" w:rsidR="00000000" w:rsidRPr="00000000">
        <w:rPr>
          <w:rFonts w:ascii="Times New Roman" w:cs="Times New Roman" w:eastAsia="Times New Roman" w:hAnsi="Times New Roman"/>
          <w:sz w:val="22"/>
          <w:szCs w:val="22"/>
          <w:rtl w:val="0"/>
        </w:rPr>
        <w:t xml:space="preserve">7.6. Порядок обработки и защиты персональных данных определяется </w:t>
      </w:r>
      <w:r w:rsidDel="00000000" w:rsidR="00000000" w:rsidRPr="00000000">
        <w:rPr>
          <w:rFonts w:ascii="Times New Roman" w:cs="Times New Roman" w:eastAsia="Times New Roman" w:hAnsi="Times New Roman"/>
          <w:sz w:val="22"/>
          <w:szCs w:val="22"/>
          <w:rtl w:val="0"/>
        </w:rPr>
        <w:t xml:space="preserve">Политикой (https://trekia.ru/documents)</w:t>
      </w:r>
      <w:r w:rsidDel="00000000" w:rsidR="00000000" w:rsidRPr="00000000">
        <w:rPr>
          <w:rtl w:val="0"/>
        </w:rPr>
      </w:r>
    </w:p>
    <w:p w:rsidR="00000000" w:rsidDel="00000000" w:rsidP="00000000" w:rsidRDefault="00000000" w:rsidRPr="00000000" w14:paraId="0000003D">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7.7.  Если какое-либо из положений Соглашения окажется ничтожным в соответствии с законодательством РФ, остальные положения останутся в силе, а Соглашение будет исполняться Сторонами без учета такого положения.</w:t>
      </w:r>
    </w:p>
    <w:p w:rsidR="00000000" w:rsidDel="00000000" w:rsidP="00000000" w:rsidRDefault="00000000" w:rsidRPr="00000000" w14:paraId="0000003E">
      <w:pPr>
        <w:widowControl w:val="1"/>
        <w:spacing w:after="120" w:before="120" w:lineRule="auto"/>
        <w:ind w:left="0" w:right="0" w:firstLine="849"/>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8. Порядок разрешения споров</w:t>
      </w:r>
    </w:p>
    <w:p w:rsidR="00000000" w:rsidDel="00000000" w:rsidP="00000000" w:rsidRDefault="00000000" w:rsidRPr="00000000" w14:paraId="0000003F">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8.1. Все споры, возникающие из Договора, разрешаются Сторонами в претензионном порядке.</w:t>
      </w:r>
    </w:p>
    <w:p w:rsidR="00000000" w:rsidDel="00000000" w:rsidP="00000000" w:rsidRDefault="00000000" w:rsidRPr="00000000" w14:paraId="00000040">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8.2. По всем спорам, возникающим из Договора, Покупатель должен обращаться к Организатору. </w:t>
      </w:r>
    </w:p>
    <w:p w:rsidR="00000000" w:rsidDel="00000000" w:rsidP="00000000" w:rsidRDefault="00000000" w:rsidRPr="00000000" w14:paraId="00000041">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8.3. В случае невозможности Покупателя связаться с Организатором, Покупатель вправе направить запрос TREKIA для получения недостающих данных. </w:t>
      </w:r>
    </w:p>
    <w:p w:rsidR="00000000" w:rsidDel="00000000" w:rsidP="00000000" w:rsidRDefault="00000000" w:rsidRPr="00000000" w14:paraId="00000042">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8.4. TREKIA обязан рассмотреть запрос и, в случае его удовлетворения, предоставить Покупателю минимально необходимые данные Организатора для разрешения спора претензионном порядке.</w:t>
      </w:r>
    </w:p>
    <w:p w:rsidR="00000000" w:rsidDel="00000000" w:rsidP="00000000" w:rsidRDefault="00000000" w:rsidRPr="00000000" w14:paraId="00000043">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8.5. Досудебная претензия должна быть направлена заказным почтовым отправлением по адресу нахождения (места жительства) стороны. </w:t>
      </w:r>
    </w:p>
    <w:p w:rsidR="00000000" w:rsidDel="00000000" w:rsidP="00000000" w:rsidRDefault="00000000" w:rsidRPr="00000000" w14:paraId="00000044">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8.6. Покупатель может направить досудебную претензию также посредством согласованной электронной почты.</w:t>
      </w:r>
    </w:p>
    <w:p w:rsidR="00000000" w:rsidDel="00000000" w:rsidP="00000000" w:rsidRDefault="00000000" w:rsidRPr="00000000" w14:paraId="00000045">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8.7. Покупатель (юридическое лицо и ИП) может подать исковое заявление в соответствии с законодательством РФ в Арбитражный суд по месту нахождения ответчика не ранее чем через 30 дней с момента направления претензии.</w:t>
      </w:r>
    </w:p>
    <w:p w:rsidR="00000000" w:rsidDel="00000000" w:rsidP="00000000" w:rsidRDefault="00000000" w:rsidRPr="00000000" w14:paraId="00000046">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8.8. Споры с потребителями решаются в судебном порядке в соответствии с законодательством РФ.</w:t>
      </w:r>
    </w:p>
    <w:p w:rsidR="00000000" w:rsidDel="00000000" w:rsidP="00000000" w:rsidRDefault="00000000" w:rsidRPr="00000000" w14:paraId="00000047">
      <w:pPr>
        <w:widowControl w:val="1"/>
        <w:spacing w:after="120" w:before="120" w:lineRule="auto"/>
        <w:ind w:left="0" w:right="0" w:firstLine="849"/>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9. Прочие условия</w:t>
      </w:r>
    </w:p>
    <w:p w:rsidR="00000000" w:rsidDel="00000000" w:rsidP="00000000" w:rsidRDefault="00000000" w:rsidRPr="00000000" w14:paraId="00000048">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9.1. Договор действует с момента акцепта до момента исполнения сторонами своих обязательств.</w:t>
      </w:r>
    </w:p>
    <w:p w:rsidR="00000000" w:rsidDel="00000000" w:rsidP="00000000" w:rsidRDefault="00000000" w:rsidRPr="00000000" w14:paraId="00000049">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9.2. TREKIA оставляет за собой право вносить изменения в оферту, расположенную на Сервисе. </w:t>
      </w:r>
    </w:p>
    <w:p w:rsidR="00000000" w:rsidDel="00000000" w:rsidP="00000000" w:rsidRDefault="00000000" w:rsidRPr="00000000" w14:paraId="0000004A">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9.3. Изменения вступают в силу с момента опубликования новой версии оферты на Сервисе, распространяя свое действие на Заказы, направленные Покупателем после опубликования.</w:t>
      </w:r>
    </w:p>
    <w:p w:rsidR="00000000" w:rsidDel="00000000" w:rsidP="00000000" w:rsidRDefault="00000000" w:rsidRPr="00000000" w14:paraId="0000004B">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9.4. Покупатель обязуется самостоятельно отслеживать изменения. </w:t>
      </w:r>
    </w:p>
    <w:p w:rsidR="00000000" w:rsidDel="00000000" w:rsidP="00000000" w:rsidRDefault="00000000" w:rsidRPr="00000000" w14:paraId="0000004C">
      <w:pPr>
        <w:widowControl w:val="1"/>
        <w:spacing w:after="120" w:before="120" w:lineRule="auto"/>
        <w:ind w:left="0" w:right="0" w:firstLine="84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9.5. Порядок обработки и защиты персональных данных определяется Политикой в области обработки и защиты персональных данных пользователей.</w:t>
      </w:r>
    </w:p>
    <w:p w:rsidR="00000000" w:rsidDel="00000000" w:rsidP="00000000" w:rsidRDefault="00000000" w:rsidRPr="00000000" w14:paraId="0000004D">
      <w:pPr>
        <w:widowControl w:val="1"/>
        <w:spacing w:after="120" w:before="120" w:lineRule="auto"/>
        <w:ind w:left="0" w:right="0" w:firstLine="849"/>
        <w:jc w:val="both"/>
        <w:rPr>
          <w:sz w:val="22"/>
          <w:szCs w:val="22"/>
        </w:rPr>
      </w:pPr>
      <w:r w:rsidDel="00000000" w:rsidR="00000000" w:rsidRPr="00000000">
        <w:rPr>
          <w:rtl w:val="0"/>
        </w:rPr>
      </w:r>
    </w:p>
    <w:sectPr>
      <w:footerReference r:id="rId7" w:type="default"/>
      <w:footerReference r:id="rId8" w:type="first"/>
      <w:pgSz w:h="16840" w:w="11900" w:orient="portrait"/>
      <w:pgMar w:bottom="1417" w:top="1134" w:left="1701" w:right="850" w:header="0" w:footer="113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imes New Roman"/>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E">
    <w:pPr>
      <w:widowControl w:val="1"/>
      <w:spacing w:after="0" w:before="0" w:lineRule="auto"/>
      <w:ind w:left="0" w:right="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F">
    <w:pPr>
      <w:widowControl w:val="1"/>
      <w:spacing w:after="0" w:before="0" w:lineRule="auto"/>
      <w:ind w:left="0" w:right="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0"/>
      <w:kinsoku w:val="1"/>
      <w:overflowPunct w:val="1"/>
      <w:autoSpaceDE w:val="1"/>
      <w:bidi w:val="0"/>
    </w:pPr>
    <w:rPr>
      <w:rFonts w:ascii="Liberation Serif" w:cs="Noto Sans Devanagari" w:eastAsia="Source Han Serif CN" w:hAnsi="Liberation Serif"/>
      <w:color w:val="auto"/>
      <w:kern w:val="2"/>
      <w:sz w:val="24"/>
      <w:szCs w:val="24"/>
      <w:lang w:bidi="hi-IN" w:eastAsia="zh-CN" w:val="en-US"/>
    </w:rPr>
  </w:style>
  <w:style w:type="character" w:styleId="FootnoteSymbol">
    <w:name w:val="Footnote_Symbol"/>
    <w:qFormat w:val="1"/>
    <w:rPr>
      <w:vertAlign w:val="superscript"/>
    </w:rPr>
  </w:style>
  <w:style w:type="character" w:styleId="EndnoteSymbol">
    <w:name w:val="Endnote_Symbol"/>
    <w:qFormat w:val="1"/>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FootnoteAnchor">
    <w:name w:val="Footnote Anchor"/>
    <w:qFormat w:val="1"/>
    <w:rPr>
      <w:vertAlign w:val="superscript"/>
    </w:rPr>
  </w:style>
  <w:style w:type="character" w:styleId="EndnoteAnchor">
    <w:name w:val="Endnote Anchor"/>
    <w:qFormat w:val="1"/>
    <w:rPr>
      <w:vertAlign w:val="superscript"/>
    </w:rPr>
  </w:style>
  <w:style w:type="paragraph" w:styleId="Heading">
    <w:name w:val="Heading"/>
    <w:basedOn w:val="Normal"/>
    <w:next w:val="BodyText"/>
    <w:qFormat w:val="1"/>
    <w:pPr>
      <w:keepNext w:val="1"/>
      <w:spacing w:after="120" w:before="240"/>
    </w:pPr>
    <w:rPr>
      <w:rFonts w:ascii="Liberation Sans" w:cs="Noto Sans Devanagari" w:eastAsia="Source Han Sans CN" w:hAnsi="Liberation Sans"/>
      <w:sz w:val="28"/>
      <w:szCs w:val="28"/>
    </w:rPr>
  </w:style>
  <w:style w:type="paragraph" w:styleId="BodyText">
    <w:name w:val="Body Text"/>
    <w:basedOn w:val="Normal"/>
    <w:pPr>
      <w:spacing w:after="140" w:before="0" w:line="276" w:lineRule="auto"/>
    </w:pPr>
    <w:rPr/>
  </w:style>
  <w:style w:type="paragraph" w:styleId="List">
    <w:name w:val="List"/>
    <w:basedOn w:val="TextBody"/>
    <w:pPr/>
    <w:rPr/>
  </w:style>
  <w:style w:type="paragraph" w:styleId="Caption">
    <w:name w:val="Caption"/>
    <w:basedOn w:val="Normal"/>
    <w:qFormat w:val="1"/>
    <w:pPr/>
    <w:rPr/>
  </w:style>
  <w:style w:type="paragraph" w:styleId="Index">
    <w:name w:val="Index"/>
    <w:basedOn w:val="Normal"/>
    <w:qFormat w:val="1"/>
    <w:pPr/>
    <w:rPr/>
  </w:style>
  <w:style w:type="paragraph" w:styleId="TextBody">
    <w:name w:val="Text Body"/>
    <w:basedOn w:val="Normal"/>
    <w:qFormat w:val="1"/>
    <w:pPr/>
    <w:rPr/>
  </w:style>
  <w:style w:type="paragraph" w:styleId="TableContents">
    <w:name w:val="Table Contents"/>
    <w:basedOn w:val="TextBody"/>
    <w:qFormat w:val="1"/>
    <w:pPr/>
    <w:rPr/>
  </w:style>
  <w:style w:type="paragraph" w:styleId="TableHeading">
    <w:name w:val="Table Heading"/>
    <w:basedOn w:val="TableContents"/>
    <w:qFormat w:val="1"/>
    <w:pPr/>
    <w:rPr/>
  </w:style>
  <w:style w:type="paragraph" w:styleId="HeaderandFooter">
    <w:name w:val="Header and Footer"/>
    <w:basedOn w:val="Normal"/>
    <w:qFormat w:val="1"/>
    <w:pPr>
      <w:suppressLineNumbers w:val="1"/>
      <w:tabs>
        <w:tab w:val="clear" w:pos="720"/>
        <w:tab w:val="center" w:leader="none" w:pos="4986"/>
        <w:tab w:val="right" w:leader="none" w:pos="9972"/>
      </w:tabs>
    </w:pPr>
    <w:rPr/>
  </w:style>
  <w:style w:type="paragraph" w:styleId="Header">
    <w:name w:val="Header"/>
    <w:basedOn w:val="Normal"/>
    <w:pPr/>
    <w:rPr/>
  </w:style>
  <w:style w:type="paragraph" w:styleId="Footer">
    <w:name w:val="Footer"/>
    <w:basedOn w:val="Normal"/>
    <w:pPr/>
    <w:rPr/>
  </w:style>
  <w:style w:type="paragraph" w:styleId="FootnoteText">
    <w:name w:val="Footnote Text"/>
    <w:basedOn w:val="Normal"/>
    <w:pPr/>
    <w:rPr/>
  </w:style>
  <w:style w:type="paragraph" w:styleId="EndnoteText">
    <w:name w:val="Endnote Text"/>
    <w:basedOn w:val="Normal"/>
    <w:pP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m+GdosPBYcQDLaQb75vJ0HJl4Q==">CgMxLjA4AHIhMXBGQ2ExMWc4Q2NwaTNNSTU3TTk1TTc2ci1ieHoxbF9m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